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783" w14:textId="1451D43C" w:rsidR="00CD7BB6" w:rsidRPr="00DB3257" w:rsidRDefault="00B2719B" w:rsidP="00C5240C">
      <w:pPr>
        <w:pBdr>
          <w:bottom w:val="single" w:sz="4" w:space="1" w:color="auto"/>
        </w:pBdr>
        <w:spacing w:after="0" w:line="240" w:lineRule="auto"/>
        <w:jc w:val="center"/>
        <w:rPr>
          <w:rFonts w:ascii="Calibri" w:hAnsi="Calibri" w:cs="Calibri"/>
          <w:b/>
          <w:bCs/>
          <w:sz w:val="36"/>
          <w:szCs w:val="36"/>
        </w:rPr>
      </w:pPr>
      <w:r w:rsidRPr="00DB3257">
        <w:rPr>
          <w:rFonts w:ascii="Calibri" w:hAnsi="Calibri" w:cs="Calibri"/>
          <w:b/>
          <w:bCs/>
          <w:sz w:val="36"/>
          <w:szCs w:val="36"/>
        </w:rPr>
        <w:t xml:space="preserve">PROPOSAL </w:t>
      </w:r>
      <w:r w:rsidR="00783101" w:rsidRPr="00DB3257">
        <w:rPr>
          <w:rFonts w:ascii="Calibri" w:hAnsi="Calibri" w:cs="Calibri"/>
          <w:b/>
          <w:bCs/>
          <w:sz w:val="36"/>
          <w:szCs w:val="36"/>
        </w:rPr>
        <w:t>COVER SHEET</w:t>
      </w:r>
    </w:p>
    <w:p w14:paraId="72CF15CD" w14:textId="437AF30E" w:rsidR="00B2719B" w:rsidRPr="00DB3257" w:rsidRDefault="00DC032B" w:rsidP="00B2719B">
      <w:pPr>
        <w:widowControl w:val="0"/>
        <w:autoSpaceDE w:val="0"/>
        <w:autoSpaceDN w:val="0"/>
        <w:spacing w:before="71" w:after="0" w:line="240" w:lineRule="auto"/>
        <w:ind w:right="180"/>
        <w:jc w:val="center"/>
        <w:outlineLvl w:val="0"/>
        <w:rPr>
          <w:rFonts w:ascii="Calibri" w:eastAsia="Times New Roman" w:hAnsi="Calibri" w:cs="Calibri"/>
          <w:sz w:val="28"/>
          <w:szCs w:val="28"/>
        </w:rPr>
      </w:pPr>
      <w:r>
        <w:rPr>
          <w:rFonts w:ascii="Calibri" w:eastAsia="Times New Roman" w:hAnsi="Calibri" w:cs="Calibri"/>
          <w:sz w:val="28"/>
          <w:szCs w:val="28"/>
        </w:rPr>
        <w:t>EXHIBIT</w:t>
      </w:r>
      <w:r w:rsidR="00B365E6">
        <w:rPr>
          <w:rFonts w:ascii="Calibri" w:eastAsia="Times New Roman" w:hAnsi="Calibri" w:cs="Calibri"/>
          <w:sz w:val="28"/>
          <w:szCs w:val="28"/>
        </w:rPr>
        <w:t>S</w:t>
      </w:r>
      <w:r>
        <w:rPr>
          <w:rFonts w:ascii="Calibri" w:eastAsia="Times New Roman" w:hAnsi="Calibri" w:cs="Calibri"/>
          <w:sz w:val="28"/>
          <w:szCs w:val="28"/>
        </w:rPr>
        <w:t xml:space="preserve"> A</w:t>
      </w:r>
    </w:p>
    <w:p w14:paraId="6014EEE8" w14:textId="77777777" w:rsidR="00357A6F" w:rsidRPr="00DB3257" w:rsidRDefault="00357A6F" w:rsidP="009162B1">
      <w:pPr>
        <w:spacing w:after="0" w:line="240" w:lineRule="auto"/>
        <w:rPr>
          <w:rFonts w:ascii="Calibri" w:hAnsi="Calibri" w:cs="Calibri"/>
        </w:rPr>
      </w:pPr>
    </w:p>
    <w:p w14:paraId="008F20ED" w14:textId="77777777" w:rsidR="009162B1" w:rsidRPr="00DB3257" w:rsidRDefault="009162B1" w:rsidP="009162B1">
      <w:pPr>
        <w:spacing w:after="0" w:line="240" w:lineRule="auto"/>
        <w:rPr>
          <w:rFonts w:ascii="Calibri" w:hAnsi="Calibri" w:cs="Calibri"/>
        </w:rPr>
      </w:pPr>
    </w:p>
    <w:p w14:paraId="658A4967" w14:textId="77777777" w:rsidR="00C5240C"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MAIN POINTS OF CONCERN</w:t>
      </w:r>
    </w:p>
    <w:p w14:paraId="3759BDCC" w14:textId="560F50E2" w:rsidR="007F37D2" w:rsidRPr="006455B1" w:rsidRDefault="007F37D2" w:rsidP="007F37D2">
      <w:pPr>
        <w:numPr>
          <w:ilvl w:val="0"/>
          <w:numId w:val="4"/>
        </w:numPr>
        <w:spacing w:line="259" w:lineRule="auto"/>
        <w:contextualSpacing/>
        <w:rPr>
          <w:rFonts w:ascii="Calibri" w:hAnsi="Calibri" w:cs="Calibri"/>
        </w:rPr>
      </w:pPr>
      <w:r w:rsidRPr="006455B1">
        <w:rPr>
          <w:rFonts w:ascii="Calibri" w:hAnsi="Calibri" w:cs="Calibri"/>
        </w:rPr>
        <w:t xml:space="preserve">Equitable Competitive Compensation </w:t>
      </w:r>
      <w:r>
        <w:rPr>
          <w:rFonts w:ascii="Calibri" w:hAnsi="Calibri" w:cs="Calibri"/>
        </w:rPr>
        <w:t xml:space="preserve">in </w:t>
      </w:r>
      <w:r w:rsidRPr="006455B1">
        <w:rPr>
          <w:rFonts w:ascii="Calibri" w:hAnsi="Calibri" w:cs="Calibri"/>
        </w:rPr>
        <w:t>Salary Schedule</w:t>
      </w:r>
      <w:r>
        <w:rPr>
          <w:rFonts w:ascii="Calibri" w:hAnsi="Calibri" w:cs="Calibri"/>
        </w:rPr>
        <w:t>s</w:t>
      </w:r>
      <w:r w:rsidRPr="006455B1">
        <w:rPr>
          <w:rFonts w:ascii="Calibri" w:hAnsi="Calibri" w:cs="Calibri"/>
        </w:rPr>
        <w:t>.</w:t>
      </w:r>
    </w:p>
    <w:p w14:paraId="08D30092" w14:textId="77777777" w:rsidR="007F37D2" w:rsidRPr="006455B1" w:rsidRDefault="007F37D2" w:rsidP="007F37D2">
      <w:pPr>
        <w:numPr>
          <w:ilvl w:val="1"/>
          <w:numId w:val="7"/>
        </w:numPr>
        <w:spacing w:after="0" w:line="240" w:lineRule="auto"/>
        <w:ind w:left="1080"/>
        <w:contextualSpacing/>
        <w:rPr>
          <w:rFonts w:ascii="Calibri" w:hAnsi="Calibri" w:cs="Calibri"/>
        </w:rPr>
      </w:pPr>
      <w:r w:rsidRPr="006455B1">
        <w:rPr>
          <w:rFonts w:ascii="Calibri" w:hAnsi="Calibri" w:cs="Calibri"/>
        </w:rPr>
        <w:t>SCCCD strives to attract and retain a qualified and professional workforce that is committed to providing an academic environment that is welcoming and inclusive and to empower faculty to provide exceptional programs and services to our diverse student population.</w:t>
      </w:r>
    </w:p>
    <w:p w14:paraId="21C9A321" w14:textId="77777777" w:rsidR="007F37D2" w:rsidRPr="006455B1" w:rsidRDefault="007F37D2" w:rsidP="007F37D2">
      <w:pPr>
        <w:numPr>
          <w:ilvl w:val="1"/>
          <w:numId w:val="7"/>
        </w:numPr>
        <w:spacing w:after="0" w:line="240" w:lineRule="auto"/>
        <w:ind w:left="1080"/>
        <w:contextualSpacing/>
        <w:rPr>
          <w:rFonts w:ascii="Calibri" w:hAnsi="Calibri" w:cs="Calibri"/>
        </w:rPr>
      </w:pPr>
      <w:r w:rsidRPr="006455B1">
        <w:rPr>
          <w:rFonts w:ascii="Calibri" w:hAnsi="Calibri" w:cs="Calibri"/>
        </w:rPr>
        <w:t>SCCCD Administration and Trustees publicly acknowledge that we are a top tier district as evidenced by the Key Performance Indicators that reflect a top tier evaluation of faculty.</w:t>
      </w:r>
    </w:p>
    <w:p w14:paraId="61711B40" w14:textId="77777777" w:rsidR="0061639D" w:rsidRPr="0061639D" w:rsidRDefault="0061639D" w:rsidP="0061639D">
      <w:pPr>
        <w:pStyle w:val="ListParagraph"/>
        <w:spacing w:after="0" w:line="240" w:lineRule="auto"/>
        <w:ind w:left="1440"/>
        <w:rPr>
          <w:rFonts w:ascii="Calibri" w:hAnsi="Calibri" w:cs="Calibri"/>
        </w:rPr>
      </w:pPr>
    </w:p>
    <w:p w14:paraId="13540BA2" w14:textId="77777777" w:rsidR="00A433C5" w:rsidRPr="00DB3257" w:rsidRDefault="00A433C5" w:rsidP="009162B1">
      <w:pPr>
        <w:spacing w:after="0" w:line="240" w:lineRule="auto"/>
        <w:rPr>
          <w:rFonts w:ascii="Calibri" w:hAnsi="Calibri" w:cs="Calibri"/>
        </w:rPr>
      </w:pPr>
    </w:p>
    <w:p w14:paraId="72D4D96D" w14:textId="64FF90DF" w:rsidR="00357A6F"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PROPOSED MODIFICATIONS</w:t>
      </w:r>
      <w:r w:rsidR="003D059B" w:rsidRPr="00DB3257">
        <w:rPr>
          <w:rFonts w:ascii="Calibri" w:hAnsi="Calibri" w:cs="Calibri"/>
          <w:b/>
          <w:bCs/>
          <w:sz w:val="28"/>
          <w:szCs w:val="28"/>
        </w:rPr>
        <w:t>*</w:t>
      </w:r>
    </w:p>
    <w:tbl>
      <w:tblPr>
        <w:tblStyle w:val="TableGrid"/>
        <w:tblW w:w="10885" w:type="dxa"/>
        <w:tblInd w:w="-95" w:type="dxa"/>
        <w:tblLook w:val="04A0" w:firstRow="1" w:lastRow="0" w:firstColumn="1" w:lastColumn="0" w:noHBand="0" w:noVBand="1"/>
      </w:tblPr>
      <w:tblGrid>
        <w:gridCol w:w="471"/>
        <w:gridCol w:w="1637"/>
        <w:gridCol w:w="4105"/>
        <w:gridCol w:w="3632"/>
        <w:gridCol w:w="1040"/>
      </w:tblGrid>
      <w:tr w:rsidR="00B277C5" w:rsidRPr="00DB3257" w14:paraId="1BB99489" w14:textId="77777777" w:rsidTr="00891803">
        <w:tc>
          <w:tcPr>
            <w:tcW w:w="2108" w:type="dxa"/>
            <w:gridSpan w:val="2"/>
            <w:tcBorders>
              <w:bottom w:val="single" w:sz="4" w:space="0" w:color="auto"/>
            </w:tcBorders>
          </w:tcPr>
          <w:p w14:paraId="3DDA372D" w14:textId="332613FF" w:rsidR="00B277C5" w:rsidRPr="009F5DA8" w:rsidRDefault="00B277C5" w:rsidP="009162B1">
            <w:pPr>
              <w:jc w:val="center"/>
              <w:rPr>
                <w:rFonts w:ascii="Calibri" w:hAnsi="Calibri" w:cs="Calibri"/>
              </w:rPr>
            </w:pPr>
            <w:r>
              <w:rPr>
                <w:rFonts w:ascii="Calibri" w:hAnsi="Calibri" w:cs="Calibri"/>
              </w:rPr>
              <w:t>EXHIBIT</w:t>
            </w:r>
          </w:p>
        </w:tc>
        <w:tc>
          <w:tcPr>
            <w:tcW w:w="4105" w:type="dxa"/>
            <w:tcBorders>
              <w:bottom w:val="single" w:sz="4" w:space="0" w:color="auto"/>
            </w:tcBorders>
          </w:tcPr>
          <w:p w14:paraId="1528B1B7" w14:textId="61D44495" w:rsidR="00B277C5" w:rsidRPr="00DB3257" w:rsidRDefault="00B277C5" w:rsidP="009162B1">
            <w:pPr>
              <w:jc w:val="center"/>
              <w:rPr>
                <w:rFonts w:ascii="Calibri" w:hAnsi="Calibri" w:cs="Calibri"/>
              </w:rPr>
            </w:pPr>
            <w:r w:rsidRPr="009F5DA8">
              <w:rPr>
                <w:rFonts w:ascii="Calibri" w:hAnsi="Calibri" w:cs="Calibri"/>
              </w:rPr>
              <w:t>ACTION</w:t>
            </w:r>
          </w:p>
        </w:tc>
        <w:tc>
          <w:tcPr>
            <w:tcW w:w="3632" w:type="dxa"/>
            <w:tcBorders>
              <w:bottom w:val="single" w:sz="4" w:space="0" w:color="auto"/>
            </w:tcBorders>
          </w:tcPr>
          <w:p w14:paraId="7783968E" w14:textId="47C2BF10" w:rsidR="00B277C5" w:rsidRPr="00DB3257" w:rsidRDefault="00B277C5" w:rsidP="009162B1">
            <w:pPr>
              <w:jc w:val="center"/>
              <w:rPr>
                <w:rFonts w:ascii="Calibri" w:hAnsi="Calibri" w:cs="Calibri"/>
              </w:rPr>
            </w:pPr>
            <w:r w:rsidRPr="00DB3257">
              <w:rPr>
                <w:rFonts w:ascii="Calibri" w:hAnsi="Calibri" w:cs="Calibri"/>
              </w:rPr>
              <w:t>REASONING</w:t>
            </w:r>
          </w:p>
        </w:tc>
        <w:tc>
          <w:tcPr>
            <w:tcW w:w="1040" w:type="dxa"/>
            <w:tcBorders>
              <w:bottom w:val="single" w:sz="4" w:space="0" w:color="auto"/>
            </w:tcBorders>
          </w:tcPr>
          <w:p w14:paraId="0E33C44B" w14:textId="7FFCB2EB" w:rsidR="00B277C5" w:rsidRPr="000042FC" w:rsidRDefault="00B277C5" w:rsidP="003D059B">
            <w:pPr>
              <w:jc w:val="center"/>
              <w:rPr>
                <w:rFonts w:ascii="Calibri" w:hAnsi="Calibri" w:cs="Calibri"/>
              </w:rPr>
            </w:pPr>
            <w:r w:rsidRPr="000042FC">
              <w:rPr>
                <w:rFonts w:ascii="Calibri" w:hAnsi="Calibri" w:cs="Calibri"/>
              </w:rPr>
              <w:t>Fiscal* Impact</w:t>
            </w:r>
          </w:p>
        </w:tc>
      </w:tr>
      <w:tr w:rsidR="00B277C5" w:rsidRPr="00DB3257" w14:paraId="2CF09247" w14:textId="77777777" w:rsidTr="00891803">
        <w:tc>
          <w:tcPr>
            <w:tcW w:w="471" w:type="dxa"/>
            <w:tcBorders>
              <w:top w:val="single" w:sz="4" w:space="0" w:color="auto"/>
              <w:left w:val="single" w:sz="4" w:space="0" w:color="auto"/>
              <w:bottom w:val="single" w:sz="4" w:space="0" w:color="auto"/>
              <w:right w:val="single" w:sz="4" w:space="0" w:color="auto"/>
            </w:tcBorders>
          </w:tcPr>
          <w:p w14:paraId="54FCBDD7" w14:textId="61BD2E31" w:rsidR="00B277C5" w:rsidRPr="0061639D" w:rsidRDefault="00B277C5" w:rsidP="00B277C5">
            <w:pPr>
              <w:tabs>
                <w:tab w:val="left" w:pos="1456"/>
              </w:tabs>
              <w:rPr>
                <w:rFonts w:ascii="Calibri" w:hAnsi="Calibri" w:cs="Calibri"/>
                <w:bCs/>
              </w:rPr>
            </w:pPr>
            <w:r>
              <w:rPr>
                <w:rFonts w:ascii="Aptos Narrow" w:eastAsia="Times New Roman" w:hAnsi="Aptos Narrow" w:cs="Times New Roman"/>
                <w:color w:val="000000"/>
                <w:kern w:val="0"/>
                <w14:ligatures w14:val="none"/>
              </w:rPr>
              <w:t>A1</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F1F2F57" w14:textId="2B7F8D68" w:rsidR="00B277C5" w:rsidRDefault="00B277C5" w:rsidP="00B277C5">
            <w:pPr>
              <w:tabs>
                <w:tab w:val="left" w:pos="1456"/>
              </w:tabs>
              <w:rPr>
                <w:rFonts w:ascii="Aptos Narrow" w:eastAsia="Times New Roman" w:hAnsi="Aptos Narrow" w:cs="Times New Roman"/>
                <w:color w:val="000000"/>
                <w:kern w:val="0"/>
                <w14:ligatures w14:val="none"/>
              </w:rPr>
            </w:pPr>
            <w:r w:rsidRPr="008172AC">
              <w:rPr>
                <w:rFonts w:ascii="Aptos Narrow" w:eastAsia="Times New Roman" w:hAnsi="Aptos Narrow" w:cs="Times New Roman"/>
                <w:color w:val="000000"/>
                <w:kern w:val="0"/>
                <w14:ligatures w14:val="none"/>
              </w:rPr>
              <w:t>Full-Time Salary Sc</w:t>
            </w:r>
            <w:r>
              <w:rPr>
                <w:rFonts w:ascii="Aptos Narrow" w:eastAsia="Times New Roman" w:hAnsi="Aptos Narrow" w:cs="Times New Roman"/>
                <w:color w:val="000000"/>
                <w:kern w:val="0"/>
                <w14:ligatures w14:val="none"/>
              </w:rPr>
              <w:t>h</w:t>
            </w:r>
            <w:r w:rsidRPr="008172AC">
              <w:rPr>
                <w:rFonts w:ascii="Aptos Narrow" w:eastAsia="Times New Roman" w:hAnsi="Aptos Narrow" w:cs="Times New Roman"/>
                <w:color w:val="000000"/>
                <w:kern w:val="0"/>
                <w14:ligatures w14:val="none"/>
              </w:rPr>
              <w:t>edule</w:t>
            </w:r>
          </w:p>
        </w:tc>
        <w:tc>
          <w:tcPr>
            <w:tcW w:w="4105" w:type="dxa"/>
            <w:tcBorders>
              <w:top w:val="single" w:sz="4" w:space="0" w:color="auto"/>
              <w:left w:val="nil"/>
              <w:bottom w:val="single" w:sz="4" w:space="0" w:color="auto"/>
              <w:right w:val="single" w:sz="4" w:space="0" w:color="auto"/>
            </w:tcBorders>
          </w:tcPr>
          <w:p w14:paraId="25B3B105" w14:textId="3DB51B58" w:rsidR="00B277C5" w:rsidRPr="008172AC" w:rsidRDefault="00B277C5" w:rsidP="00B277C5">
            <w:pPr>
              <w:rPr>
                <w:rFonts w:ascii="Aptos Narrow" w:eastAsia="Times New Roman" w:hAnsi="Aptos Narrow" w:cs="Times New Roman"/>
                <w:color w:val="000000"/>
                <w:kern w:val="0"/>
                <w14:ligatures w14:val="none"/>
              </w:rPr>
            </w:pPr>
            <w:r w:rsidRPr="008172AC">
              <w:rPr>
                <w:rFonts w:ascii="Aptos Narrow" w:eastAsia="Times New Roman" w:hAnsi="Aptos Narrow" w:cs="Times New Roman"/>
                <w:color w:val="000000"/>
                <w:kern w:val="0"/>
                <w14:ligatures w14:val="none"/>
              </w:rPr>
              <w:t>Modify: Update Salary scale</w:t>
            </w:r>
            <w:r>
              <w:rPr>
                <w:rFonts w:ascii="Aptos Narrow" w:eastAsia="Times New Roman" w:hAnsi="Aptos Narrow" w:cs="Times New Roman"/>
                <w:color w:val="000000"/>
                <w:kern w:val="0"/>
                <w14:ligatures w14:val="none"/>
              </w:rPr>
              <w:t xml:space="preserve"> to increase the rate at which step pay increase occur (i.e., reduce the # of steps where salary stays the same), resulting in increases in percentage of pay in a shorter amount of time.</w:t>
            </w:r>
          </w:p>
        </w:tc>
        <w:tc>
          <w:tcPr>
            <w:tcW w:w="3632" w:type="dxa"/>
            <w:tcBorders>
              <w:top w:val="single" w:sz="4" w:space="0" w:color="auto"/>
              <w:left w:val="single" w:sz="4" w:space="0" w:color="auto"/>
              <w:bottom w:val="single" w:sz="4" w:space="0" w:color="auto"/>
              <w:right w:val="single" w:sz="4" w:space="0" w:color="auto"/>
            </w:tcBorders>
            <w:shd w:val="clear" w:color="auto" w:fill="auto"/>
          </w:tcPr>
          <w:p w14:paraId="4ABBEFF8" w14:textId="7404F30D" w:rsidR="00817F15" w:rsidRDefault="00817F15" w:rsidP="00817F15">
            <w:r>
              <w:t xml:space="preserve">The proposed single salary schedule is the basis for an Equitable Competitive Compensation Salary Schedule.  </w:t>
            </w:r>
          </w:p>
          <w:p w14:paraId="26F1DBA8" w14:textId="77777777" w:rsidR="00817F15" w:rsidRDefault="00817F15" w:rsidP="001344CC">
            <w:pPr>
              <w:pStyle w:val="ListParagraph"/>
              <w:numPr>
                <w:ilvl w:val="0"/>
                <w:numId w:val="3"/>
              </w:numPr>
              <w:ind w:left="252" w:hanging="270"/>
            </w:pPr>
            <w:r>
              <w:t>It addresses equitable compensation for equal work.</w:t>
            </w:r>
          </w:p>
          <w:p w14:paraId="2784785A" w14:textId="77777777" w:rsidR="00817F15" w:rsidRDefault="00817F15" w:rsidP="001344CC">
            <w:pPr>
              <w:pStyle w:val="ListParagraph"/>
              <w:numPr>
                <w:ilvl w:val="0"/>
                <w:numId w:val="3"/>
              </w:numPr>
              <w:ind w:left="252" w:hanging="270"/>
            </w:pPr>
            <w:r>
              <w:t xml:space="preserve">It competitively matches compensation for COS faculty to attract and retain a qualified and professional academic workforce. </w:t>
            </w:r>
          </w:p>
          <w:p w14:paraId="2009D0A4" w14:textId="77777777" w:rsidR="00817F15" w:rsidRDefault="00817F15" w:rsidP="00817F15">
            <w:r>
              <w:t xml:space="preserve">The Chancellor of SCCCD has a base salary of $384,100.  The top administrator of COS has a base salary of $350,000.  The proposed amendment will bring parity to SCCCD faculty compensation in line with COS faculty. </w:t>
            </w:r>
          </w:p>
          <w:p w14:paraId="3395E30B" w14:textId="77777777" w:rsidR="00817F15" w:rsidRDefault="00817F15" w:rsidP="00817F15"/>
          <w:p w14:paraId="0165E90E" w14:textId="3707AD9E" w:rsidR="00453B02" w:rsidRDefault="00453B02" w:rsidP="00453B02">
            <w:r>
              <w:t xml:space="preserve">DATA: </w:t>
            </w:r>
            <w:r w:rsidR="00817F15">
              <w:t>SCCCD Administration and Trustees publicly acknowledge that we are a top tier district as evidenced by the Key</w:t>
            </w:r>
            <w:r>
              <w:t xml:space="preserve"> Performance Indicators that reflect a top tier evaluation of faculty.</w:t>
            </w:r>
          </w:p>
          <w:p w14:paraId="3DAA777B" w14:textId="77777777" w:rsidR="00453B02" w:rsidRDefault="00453B02" w:rsidP="00453B02"/>
          <w:p w14:paraId="4A68001C" w14:textId="4FB688C5" w:rsidR="00B277C5" w:rsidRDefault="00453B02" w:rsidP="00453B02">
            <w:pPr>
              <w:rPr>
                <w:rFonts w:ascii="Aptos Narrow" w:eastAsia="Times New Roman" w:hAnsi="Aptos Narrow" w:cs="Times New Roman"/>
                <w:color w:val="000000"/>
                <w:kern w:val="0"/>
                <w14:ligatures w14:val="none"/>
              </w:rPr>
            </w:pPr>
            <w:r w:rsidRPr="006C706A">
              <w:rPr>
                <w:i/>
                <w:iCs/>
              </w:rPr>
              <w:t xml:space="preserve">“We want the best and brightest for our students, and then we </w:t>
            </w:r>
            <w:r w:rsidRPr="006C706A">
              <w:rPr>
                <w:i/>
                <w:iCs/>
              </w:rPr>
              <w:lastRenderedPageBreak/>
              <w:t>want to retain them</w:t>
            </w:r>
            <w:r>
              <w:t>.” – former SCCCD Trustee Bobby Kahn</w:t>
            </w:r>
          </w:p>
        </w:tc>
        <w:tc>
          <w:tcPr>
            <w:tcW w:w="1040" w:type="dxa"/>
            <w:tcBorders>
              <w:top w:val="single" w:sz="4" w:space="0" w:color="auto"/>
              <w:left w:val="nil"/>
              <w:bottom w:val="single" w:sz="4" w:space="0" w:color="auto"/>
              <w:right w:val="single" w:sz="4" w:space="0" w:color="auto"/>
            </w:tcBorders>
            <w:vAlign w:val="center"/>
          </w:tcPr>
          <w:p w14:paraId="12D91468" w14:textId="740D4C2B" w:rsidR="00B277C5" w:rsidRDefault="006E754A" w:rsidP="00B277C5">
            <w:pPr>
              <w:jc w:val="center"/>
              <w:rPr>
                <w:rFonts w:ascii="Calibri" w:hAnsi="Calibri" w:cs="Calibri"/>
              </w:rPr>
            </w:pPr>
            <w:r>
              <w:rPr>
                <w:rFonts w:ascii="Calibri" w:hAnsi="Calibri" w:cs="Calibri"/>
              </w:rPr>
              <w:lastRenderedPageBreak/>
              <w:t>YES</w:t>
            </w:r>
          </w:p>
        </w:tc>
      </w:tr>
      <w:tr w:rsidR="00B277C5" w:rsidRPr="00DB3257" w14:paraId="7694CEC3" w14:textId="77777777" w:rsidTr="00891803">
        <w:tc>
          <w:tcPr>
            <w:tcW w:w="471" w:type="dxa"/>
            <w:tcBorders>
              <w:top w:val="single" w:sz="4" w:space="0" w:color="auto"/>
              <w:left w:val="single" w:sz="4" w:space="0" w:color="auto"/>
              <w:bottom w:val="single" w:sz="4" w:space="0" w:color="auto"/>
              <w:right w:val="single" w:sz="4" w:space="0" w:color="auto"/>
            </w:tcBorders>
          </w:tcPr>
          <w:p w14:paraId="000CC7B8" w14:textId="0207E9B6" w:rsidR="00B277C5" w:rsidRPr="0061639D" w:rsidRDefault="00B277C5" w:rsidP="00B277C5">
            <w:pPr>
              <w:tabs>
                <w:tab w:val="left" w:pos="1456"/>
              </w:tabs>
              <w:rPr>
                <w:rFonts w:ascii="Calibri" w:hAnsi="Calibri" w:cs="Calibri"/>
                <w:bCs/>
              </w:rPr>
            </w:pPr>
            <w:r>
              <w:rPr>
                <w:rFonts w:ascii="Aptos Narrow" w:eastAsia="Times New Roman" w:hAnsi="Aptos Narrow" w:cs="Times New Roman"/>
                <w:color w:val="000000"/>
                <w:kern w:val="0"/>
                <w14:ligatures w14:val="none"/>
              </w:rPr>
              <w:t>A2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386EA35C" w14:textId="049D97C7" w:rsidR="00B277C5" w:rsidRPr="0061639D" w:rsidRDefault="00B277C5" w:rsidP="00B277C5">
            <w:pPr>
              <w:tabs>
                <w:tab w:val="left" w:pos="1456"/>
              </w:tabs>
              <w:rPr>
                <w:rFonts w:ascii="Calibri" w:hAnsi="Calibri" w:cs="Calibri"/>
                <w:bCs/>
              </w:rPr>
            </w:pPr>
            <w:r w:rsidRPr="008172AC">
              <w:rPr>
                <w:rFonts w:ascii="Aptos Narrow" w:eastAsia="Times New Roman" w:hAnsi="Aptos Narrow" w:cs="Times New Roman"/>
                <w:color w:val="000000"/>
                <w:kern w:val="0"/>
                <w14:ligatures w14:val="none"/>
              </w:rPr>
              <w:t>Overload Salary Schedule</w:t>
            </w:r>
          </w:p>
        </w:tc>
        <w:tc>
          <w:tcPr>
            <w:tcW w:w="4105" w:type="dxa"/>
            <w:tcBorders>
              <w:top w:val="single" w:sz="4" w:space="0" w:color="auto"/>
              <w:left w:val="nil"/>
              <w:bottom w:val="single" w:sz="4" w:space="0" w:color="auto"/>
              <w:right w:val="single" w:sz="4" w:space="0" w:color="auto"/>
            </w:tcBorders>
          </w:tcPr>
          <w:p w14:paraId="449B6335" w14:textId="67E6D356" w:rsidR="00B277C5" w:rsidRDefault="00B277C5" w:rsidP="00B277C5">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Delete: Delete entire Salary Schedule due to single salary</w:t>
            </w:r>
          </w:p>
        </w:tc>
        <w:tc>
          <w:tcPr>
            <w:tcW w:w="3632" w:type="dxa"/>
            <w:tcBorders>
              <w:top w:val="single" w:sz="4" w:space="0" w:color="auto"/>
              <w:left w:val="single" w:sz="4" w:space="0" w:color="auto"/>
              <w:bottom w:val="single" w:sz="4" w:space="0" w:color="auto"/>
              <w:right w:val="single" w:sz="4" w:space="0" w:color="auto"/>
            </w:tcBorders>
            <w:shd w:val="clear" w:color="auto" w:fill="auto"/>
          </w:tcPr>
          <w:p w14:paraId="077DC582" w14:textId="4E694D93" w:rsidR="00B277C5" w:rsidRDefault="00817F15" w:rsidP="00B277C5">
            <w:pPr>
              <w:rPr>
                <w:rFonts w:ascii="Calibri" w:hAnsi="Calibri" w:cs="Calibri"/>
                <w:bCs/>
              </w:rPr>
            </w:pPr>
            <w:r>
              <w:rPr>
                <w:rFonts w:ascii="Calibri" w:hAnsi="Calibri" w:cs="Calibri"/>
                <w:bCs/>
              </w:rPr>
              <w:t>Full-time Overload pay and Part-Time pay will follow one hourly instructional/special assignment rate and have new formulas to calculate total compensation.</w:t>
            </w:r>
          </w:p>
        </w:tc>
        <w:tc>
          <w:tcPr>
            <w:tcW w:w="1040" w:type="dxa"/>
            <w:tcBorders>
              <w:top w:val="single" w:sz="4" w:space="0" w:color="auto"/>
              <w:left w:val="nil"/>
              <w:bottom w:val="single" w:sz="4" w:space="0" w:color="auto"/>
              <w:right w:val="single" w:sz="4" w:space="0" w:color="auto"/>
            </w:tcBorders>
            <w:vAlign w:val="center"/>
          </w:tcPr>
          <w:p w14:paraId="7F0ED1D5" w14:textId="6B44882C" w:rsidR="00B277C5" w:rsidRDefault="006E754A" w:rsidP="00B277C5">
            <w:pPr>
              <w:jc w:val="center"/>
              <w:rPr>
                <w:rFonts w:ascii="Calibri" w:hAnsi="Calibri" w:cs="Calibri"/>
              </w:rPr>
            </w:pPr>
            <w:r>
              <w:rPr>
                <w:rFonts w:ascii="Calibri" w:hAnsi="Calibri" w:cs="Calibri"/>
              </w:rPr>
              <w:t>YES</w:t>
            </w:r>
          </w:p>
        </w:tc>
      </w:tr>
      <w:tr w:rsidR="00B277C5" w:rsidRPr="00DB3257" w14:paraId="7F8F371C" w14:textId="77777777" w:rsidTr="00891803">
        <w:tc>
          <w:tcPr>
            <w:tcW w:w="471" w:type="dxa"/>
            <w:vMerge w:val="restart"/>
            <w:tcBorders>
              <w:top w:val="single" w:sz="4" w:space="0" w:color="auto"/>
              <w:left w:val="single" w:sz="4" w:space="0" w:color="auto"/>
              <w:right w:val="single" w:sz="4" w:space="0" w:color="auto"/>
            </w:tcBorders>
          </w:tcPr>
          <w:p w14:paraId="65A181FE" w14:textId="6C0CBD29" w:rsidR="00B277C5" w:rsidRPr="0061639D" w:rsidRDefault="00B277C5" w:rsidP="00B277C5">
            <w:pPr>
              <w:tabs>
                <w:tab w:val="left" w:pos="1456"/>
              </w:tabs>
              <w:rPr>
                <w:rFonts w:ascii="Calibri" w:hAnsi="Calibri" w:cs="Calibri"/>
                <w:bCs/>
              </w:rPr>
            </w:pPr>
            <w:r>
              <w:rPr>
                <w:rFonts w:ascii="Aptos Narrow" w:eastAsia="Times New Roman" w:hAnsi="Aptos Narrow" w:cs="Times New Roman"/>
                <w:color w:val="000000"/>
                <w:kern w:val="0"/>
                <w14:ligatures w14:val="none"/>
              </w:rPr>
              <w:t>A3</w:t>
            </w:r>
          </w:p>
        </w:tc>
        <w:tc>
          <w:tcPr>
            <w:tcW w:w="1637" w:type="dxa"/>
            <w:vMerge w:val="restart"/>
            <w:tcBorders>
              <w:top w:val="single" w:sz="4" w:space="0" w:color="auto"/>
              <w:left w:val="single" w:sz="4" w:space="0" w:color="auto"/>
              <w:right w:val="single" w:sz="4" w:space="0" w:color="auto"/>
            </w:tcBorders>
            <w:shd w:val="clear" w:color="auto" w:fill="auto"/>
          </w:tcPr>
          <w:p w14:paraId="72BFBAB7" w14:textId="3FC1AE71" w:rsidR="00B277C5" w:rsidRPr="0061639D" w:rsidRDefault="00B277C5" w:rsidP="00B277C5">
            <w:pPr>
              <w:tabs>
                <w:tab w:val="left" w:pos="1456"/>
              </w:tabs>
              <w:rPr>
                <w:rFonts w:ascii="Calibri" w:hAnsi="Calibri" w:cs="Calibri"/>
                <w:bCs/>
              </w:rPr>
            </w:pPr>
            <w:r>
              <w:rPr>
                <w:rFonts w:ascii="Aptos Narrow" w:eastAsia="Times New Roman" w:hAnsi="Aptos Narrow" w:cs="Times New Roman"/>
                <w:color w:val="000000"/>
                <w:kern w:val="0"/>
                <w14:ligatures w14:val="none"/>
              </w:rPr>
              <w:t>PT</w:t>
            </w:r>
            <w:r w:rsidRPr="008172AC">
              <w:rPr>
                <w:rFonts w:ascii="Aptos Narrow" w:eastAsia="Times New Roman" w:hAnsi="Aptos Narrow" w:cs="Times New Roman"/>
                <w:color w:val="000000"/>
                <w:kern w:val="0"/>
                <w14:ligatures w14:val="none"/>
              </w:rPr>
              <w:t xml:space="preserve"> Salary Schedule</w:t>
            </w:r>
          </w:p>
        </w:tc>
        <w:tc>
          <w:tcPr>
            <w:tcW w:w="4105" w:type="dxa"/>
            <w:tcBorders>
              <w:top w:val="single" w:sz="4" w:space="0" w:color="auto"/>
              <w:left w:val="nil"/>
              <w:right w:val="single" w:sz="4" w:space="0" w:color="auto"/>
            </w:tcBorders>
          </w:tcPr>
          <w:p w14:paraId="79007999" w14:textId="1D467850" w:rsidR="00B277C5" w:rsidRPr="008172AC" w:rsidRDefault="00B277C5" w:rsidP="00B277C5">
            <w:pPr>
              <w:rPr>
                <w:rFonts w:ascii="Aptos Narrow" w:eastAsia="Times New Roman" w:hAnsi="Aptos Narrow" w:cs="Times New Roman"/>
                <w:color w:val="000000"/>
                <w:kern w:val="0"/>
                <w14:ligatures w14:val="none"/>
              </w:rPr>
            </w:pPr>
            <w:r w:rsidRPr="008172AC">
              <w:rPr>
                <w:rFonts w:ascii="Aptos Narrow" w:eastAsia="Times New Roman" w:hAnsi="Aptos Narrow" w:cs="Times New Roman"/>
                <w:color w:val="000000"/>
                <w:kern w:val="0"/>
                <w14:ligatures w14:val="none"/>
              </w:rPr>
              <w:t>Modify: Update Salary Schedule</w:t>
            </w:r>
            <w:r>
              <w:rPr>
                <w:rFonts w:ascii="Aptos Narrow" w:eastAsia="Times New Roman" w:hAnsi="Aptos Narrow" w:cs="Times New Roman"/>
                <w:color w:val="000000"/>
                <w:kern w:val="0"/>
                <w14:ligatures w14:val="none"/>
              </w:rPr>
              <w:t xml:space="preserve"> to include FT overload and PT </w:t>
            </w:r>
            <w:r w:rsidRPr="008172AC">
              <w:rPr>
                <w:rFonts w:ascii="Aptos Narrow" w:eastAsia="Times New Roman" w:hAnsi="Aptos Narrow" w:cs="Times New Roman"/>
                <w:color w:val="000000"/>
                <w:kern w:val="0"/>
                <w14:ligatures w14:val="none"/>
              </w:rPr>
              <w:t xml:space="preserve">Hourly </w:t>
            </w:r>
            <w:r>
              <w:rPr>
                <w:rFonts w:ascii="Aptos Narrow" w:eastAsia="Times New Roman" w:hAnsi="Aptos Narrow" w:cs="Times New Roman"/>
                <w:color w:val="000000"/>
                <w:kern w:val="0"/>
                <w14:ligatures w14:val="none"/>
              </w:rPr>
              <w:t>Compensation</w:t>
            </w:r>
            <w:r w:rsidRPr="008172AC">
              <w:rPr>
                <w:rFonts w:ascii="Aptos Narrow" w:eastAsia="Times New Roman" w:hAnsi="Aptos Narrow" w:cs="Times New Roman"/>
                <w:color w:val="000000"/>
                <w:kern w:val="0"/>
                <w14:ligatures w14:val="none"/>
              </w:rPr>
              <w:t xml:space="preserve"> (PT)</w:t>
            </w:r>
            <w:r>
              <w:rPr>
                <w:rFonts w:ascii="Aptos Narrow" w:eastAsia="Times New Roman" w:hAnsi="Aptos Narrow" w:cs="Times New Roman"/>
                <w:color w:val="000000"/>
                <w:kern w:val="0"/>
                <w14:ligatures w14:val="none"/>
              </w:rPr>
              <w:t xml:space="preserve"> to single salary</w:t>
            </w:r>
          </w:p>
        </w:tc>
        <w:tc>
          <w:tcPr>
            <w:tcW w:w="3632" w:type="dxa"/>
            <w:tcBorders>
              <w:top w:val="single" w:sz="4" w:space="0" w:color="auto"/>
              <w:left w:val="single" w:sz="4" w:space="0" w:color="auto"/>
              <w:bottom w:val="single" w:sz="4" w:space="0" w:color="auto"/>
              <w:right w:val="single" w:sz="4" w:space="0" w:color="auto"/>
            </w:tcBorders>
            <w:shd w:val="clear" w:color="auto" w:fill="auto"/>
          </w:tcPr>
          <w:p w14:paraId="406AE1D6" w14:textId="00DF631E" w:rsidR="00B277C5" w:rsidRDefault="00817F15" w:rsidP="00B277C5">
            <w:pPr>
              <w:rPr>
                <w:rFonts w:ascii="Calibri" w:hAnsi="Calibri" w:cs="Calibri"/>
                <w:bCs/>
              </w:rPr>
            </w:pPr>
            <w:r>
              <w:rPr>
                <w:rFonts w:ascii="Calibri" w:hAnsi="Calibri" w:cs="Calibri"/>
                <w:bCs/>
              </w:rPr>
              <w:t>Full-time Overload pay and Part-Time pay will follow one hourly instructional/special assignment rate and have new formulas to calculate total compensation.</w:t>
            </w:r>
          </w:p>
        </w:tc>
        <w:tc>
          <w:tcPr>
            <w:tcW w:w="1040" w:type="dxa"/>
            <w:tcBorders>
              <w:top w:val="single" w:sz="4" w:space="0" w:color="auto"/>
              <w:left w:val="nil"/>
              <w:bottom w:val="single" w:sz="4" w:space="0" w:color="auto"/>
              <w:right w:val="single" w:sz="4" w:space="0" w:color="auto"/>
            </w:tcBorders>
            <w:vAlign w:val="center"/>
          </w:tcPr>
          <w:p w14:paraId="5F66A32F" w14:textId="2A6E3650" w:rsidR="00B277C5" w:rsidRDefault="006E754A" w:rsidP="00B277C5">
            <w:pPr>
              <w:jc w:val="center"/>
              <w:rPr>
                <w:rFonts w:ascii="Calibri" w:hAnsi="Calibri" w:cs="Calibri"/>
              </w:rPr>
            </w:pPr>
            <w:r>
              <w:rPr>
                <w:rFonts w:ascii="Calibri" w:hAnsi="Calibri" w:cs="Calibri"/>
              </w:rPr>
              <w:t>YES</w:t>
            </w:r>
          </w:p>
        </w:tc>
      </w:tr>
      <w:tr w:rsidR="00453B02" w:rsidRPr="00DB3257" w14:paraId="0EFD0B94" w14:textId="77777777" w:rsidTr="00891803">
        <w:tc>
          <w:tcPr>
            <w:tcW w:w="471" w:type="dxa"/>
            <w:vMerge/>
            <w:tcBorders>
              <w:left w:val="single" w:sz="4" w:space="0" w:color="auto"/>
              <w:bottom w:val="single" w:sz="4" w:space="0" w:color="auto"/>
              <w:right w:val="single" w:sz="4" w:space="0" w:color="auto"/>
            </w:tcBorders>
          </w:tcPr>
          <w:p w14:paraId="57EFACC0" w14:textId="77777777" w:rsidR="00453B02" w:rsidRPr="0061639D" w:rsidRDefault="00453B02" w:rsidP="00453B02">
            <w:pPr>
              <w:tabs>
                <w:tab w:val="left" w:pos="1456"/>
              </w:tabs>
              <w:rPr>
                <w:rFonts w:ascii="Calibri" w:hAnsi="Calibri" w:cs="Calibri"/>
                <w:bCs/>
              </w:rPr>
            </w:pPr>
          </w:p>
        </w:tc>
        <w:tc>
          <w:tcPr>
            <w:tcW w:w="1637" w:type="dxa"/>
            <w:vMerge/>
            <w:tcBorders>
              <w:left w:val="single" w:sz="4" w:space="0" w:color="auto"/>
              <w:bottom w:val="single" w:sz="4" w:space="0" w:color="auto"/>
              <w:right w:val="single" w:sz="4" w:space="0" w:color="auto"/>
            </w:tcBorders>
            <w:shd w:val="clear" w:color="auto" w:fill="auto"/>
          </w:tcPr>
          <w:p w14:paraId="344222BC" w14:textId="0004EC73" w:rsidR="00453B02" w:rsidRPr="0061639D" w:rsidRDefault="00453B02" w:rsidP="00453B02">
            <w:pPr>
              <w:tabs>
                <w:tab w:val="left" w:pos="1456"/>
              </w:tabs>
              <w:rPr>
                <w:rFonts w:ascii="Calibri" w:hAnsi="Calibri" w:cs="Calibri"/>
                <w:bCs/>
              </w:rPr>
            </w:pPr>
          </w:p>
        </w:tc>
        <w:tc>
          <w:tcPr>
            <w:tcW w:w="4105" w:type="dxa"/>
            <w:tcBorders>
              <w:left w:val="nil"/>
              <w:bottom w:val="single" w:sz="4" w:space="0" w:color="auto"/>
              <w:right w:val="single" w:sz="4" w:space="0" w:color="auto"/>
            </w:tcBorders>
          </w:tcPr>
          <w:p w14:paraId="6BD564E3" w14:textId="33826862" w:rsidR="00453B02" w:rsidRDefault="00453B02" w:rsidP="00453B0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Modify: Change title “Non-Instructional” to “Special Assignment” in all sections</w:t>
            </w:r>
          </w:p>
        </w:tc>
        <w:tc>
          <w:tcPr>
            <w:tcW w:w="3632" w:type="dxa"/>
            <w:tcBorders>
              <w:top w:val="nil"/>
              <w:left w:val="nil"/>
              <w:bottom w:val="single" w:sz="4" w:space="0" w:color="auto"/>
              <w:right w:val="single" w:sz="4" w:space="0" w:color="auto"/>
            </w:tcBorders>
            <w:shd w:val="clear" w:color="auto" w:fill="auto"/>
          </w:tcPr>
          <w:p w14:paraId="683B5FFC" w14:textId="3E43F382" w:rsidR="00453B02" w:rsidRDefault="00453B02" w:rsidP="00453B02">
            <w:pPr>
              <w:rPr>
                <w:rFonts w:ascii="Calibri" w:hAnsi="Calibri" w:cs="Calibri"/>
                <w:bCs/>
              </w:rPr>
            </w:pPr>
            <w:r>
              <w:rPr>
                <w:rFonts w:ascii="Aptos Narrow" w:eastAsia="Times New Roman" w:hAnsi="Aptos Narrow" w:cs="Times New Roman"/>
                <w:color w:val="000000"/>
                <w:kern w:val="0"/>
                <w14:ligatures w14:val="none"/>
              </w:rPr>
              <w:t>To ensure consistency in terms throughout the contract.</w:t>
            </w:r>
          </w:p>
        </w:tc>
        <w:tc>
          <w:tcPr>
            <w:tcW w:w="1040" w:type="dxa"/>
            <w:tcBorders>
              <w:top w:val="single" w:sz="4" w:space="0" w:color="auto"/>
              <w:left w:val="nil"/>
              <w:bottom w:val="single" w:sz="4" w:space="0" w:color="auto"/>
              <w:right w:val="single" w:sz="4" w:space="0" w:color="auto"/>
            </w:tcBorders>
            <w:vAlign w:val="center"/>
          </w:tcPr>
          <w:p w14:paraId="48DE30A5" w14:textId="14219A5F" w:rsidR="00453B02" w:rsidRDefault="006E754A" w:rsidP="00453B02">
            <w:pPr>
              <w:jc w:val="center"/>
              <w:rPr>
                <w:rFonts w:ascii="Calibri" w:hAnsi="Calibri" w:cs="Calibri"/>
              </w:rPr>
            </w:pPr>
            <w:r>
              <w:rPr>
                <w:rFonts w:ascii="Calibri" w:hAnsi="Calibri" w:cs="Calibri"/>
              </w:rPr>
              <w:t>NO</w:t>
            </w:r>
          </w:p>
        </w:tc>
      </w:tr>
    </w:tbl>
    <w:p w14:paraId="40310582" w14:textId="77777777" w:rsidR="006E754A" w:rsidRPr="00DB3257" w:rsidRDefault="006E754A" w:rsidP="006E754A">
      <w:pPr>
        <w:spacing w:after="0" w:line="240" w:lineRule="auto"/>
        <w:rPr>
          <w:rFonts w:ascii="Calibri" w:hAnsi="Calibri" w:cs="Calibri"/>
        </w:rPr>
      </w:pPr>
      <w:bookmarkStart w:id="0" w:name="_Hlk193224790"/>
      <w:bookmarkStart w:id="1" w:name="_Hlk193226225"/>
      <w:r w:rsidRPr="00DB3257">
        <w:rPr>
          <w:rFonts w:ascii="Calibri" w:hAnsi="Calibri" w:cs="Calibri"/>
        </w:rPr>
        <w:t>*Attempts to include all modifications</w:t>
      </w:r>
      <w:r>
        <w:rPr>
          <w:rFonts w:ascii="Calibri" w:hAnsi="Calibri" w:cs="Calibri"/>
        </w:rPr>
        <w:t>.</w:t>
      </w:r>
      <w:r w:rsidRPr="00DB3257">
        <w:rPr>
          <w:rFonts w:ascii="Calibri" w:hAnsi="Calibri" w:cs="Calibri"/>
        </w:rPr>
        <w:t xml:space="preserve"> All significant modifications will be listed.</w:t>
      </w:r>
      <w:r>
        <w:rPr>
          <w:rFonts w:ascii="Calibri" w:hAnsi="Calibri" w:cs="Calibri"/>
        </w:rPr>
        <w:t xml:space="preserve"> May not include</w:t>
      </w:r>
      <w:r w:rsidRPr="00DB3257">
        <w:rPr>
          <w:rFonts w:ascii="Calibri" w:hAnsi="Calibri" w:cs="Calibri"/>
        </w:rPr>
        <w:t xml:space="preserve"> minor formatting changes. </w:t>
      </w:r>
    </w:p>
    <w:bookmarkEnd w:id="0"/>
    <w:p w14:paraId="33AD2BB0" w14:textId="213C85BE" w:rsidR="006E754A" w:rsidRPr="00DB3257" w:rsidRDefault="006E754A" w:rsidP="006E754A">
      <w:pPr>
        <w:spacing w:after="0" w:line="240" w:lineRule="auto"/>
        <w:rPr>
          <w:rFonts w:ascii="Calibri" w:hAnsi="Calibri" w:cs="Calibri"/>
        </w:rPr>
      </w:pPr>
      <w:r w:rsidRPr="00DB3257">
        <w:rPr>
          <w:rFonts w:ascii="Calibri" w:hAnsi="Calibri" w:cs="Calibri"/>
        </w:rPr>
        <w:t>**</w:t>
      </w:r>
      <w:r>
        <w:rPr>
          <w:rFonts w:ascii="Calibri" w:hAnsi="Calibri" w:cs="Calibri"/>
        </w:rPr>
        <w:t>Fiscal impact: Identifies proposals with an associated dollar amount that may financially impact the district.</w:t>
      </w:r>
    </w:p>
    <w:bookmarkEnd w:id="1"/>
    <w:p w14:paraId="0A62A20F" w14:textId="5DC0956B" w:rsidR="00357A6F" w:rsidRDefault="00357A6F" w:rsidP="006E754A">
      <w:pPr>
        <w:spacing w:after="0" w:line="240" w:lineRule="auto"/>
        <w:rPr>
          <w:rFonts w:ascii="Calibri" w:hAnsi="Calibri" w:cs="Calibri"/>
        </w:rPr>
      </w:pPr>
    </w:p>
    <w:sectPr w:rsidR="00357A6F" w:rsidSect="0091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AAB"/>
    <w:multiLevelType w:val="hybridMultilevel"/>
    <w:tmpl w:val="5F72F6FC"/>
    <w:lvl w:ilvl="0" w:tplc="A1AE030C">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1A6FBC"/>
    <w:multiLevelType w:val="hybridMultilevel"/>
    <w:tmpl w:val="78E09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06DEE"/>
    <w:multiLevelType w:val="hybridMultilevel"/>
    <w:tmpl w:val="77B4945C"/>
    <w:lvl w:ilvl="0" w:tplc="FFFFFFFF">
      <w:start w:val="1"/>
      <w:numFmt w:val="bullet"/>
      <w:lvlText w:val=""/>
      <w:lvlJc w:val="left"/>
      <w:pPr>
        <w:ind w:left="720" w:hanging="360"/>
      </w:pPr>
      <w:rPr>
        <w:rFonts w:ascii="Symbol" w:hAnsi="Symbol" w:hint="default"/>
        <w:sz w:val="24"/>
        <w:szCs w:val="24"/>
      </w:rPr>
    </w:lvl>
    <w:lvl w:ilvl="1" w:tplc="6EA092B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3AE12BD"/>
    <w:multiLevelType w:val="hybridMultilevel"/>
    <w:tmpl w:val="3378C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E2009"/>
    <w:multiLevelType w:val="hybridMultilevel"/>
    <w:tmpl w:val="D23E43FC"/>
    <w:lvl w:ilvl="0" w:tplc="FFFFFFFF">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5D0B9E"/>
    <w:multiLevelType w:val="hybridMultilevel"/>
    <w:tmpl w:val="A1E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343D0"/>
    <w:multiLevelType w:val="hybridMultilevel"/>
    <w:tmpl w:val="2BAE1A50"/>
    <w:lvl w:ilvl="0" w:tplc="FFFFFFFF">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1505264">
    <w:abstractNumId w:val="5"/>
  </w:num>
  <w:num w:numId="2" w16cid:durableId="1042946243">
    <w:abstractNumId w:val="0"/>
  </w:num>
  <w:num w:numId="3" w16cid:durableId="1717385106">
    <w:abstractNumId w:val="1"/>
  </w:num>
  <w:num w:numId="4" w16cid:durableId="1030569888">
    <w:abstractNumId w:val="6"/>
  </w:num>
  <w:num w:numId="5" w16cid:durableId="1494563221">
    <w:abstractNumId w:val="3"/>
  </w:num>
  <w:num w:numId="6" w16cid:durableId="367069265">
    <w:abstractNumId w:val="2"/>
  </w:num>
  <w:num w:numId="7" w16cid:durableId="84767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1"/>
    <w:rsid w:val="000042FC"/>
    <w:rsid w:val="000A1380"/>
    <w:rsid w:val="000D291E"/>
    <w:rsid w:val="00106CCC"/>
    <w:rsid w:val="001344CC"/>
    <w:rsid w:val="00164825"/>
    <w:rsid w:val="00167EBB"/>
    <w:rsid w:val="00202B0F"/>
    <w:rsid w:val="002217B3"/>
    <w:rsid w:val="00252D5F"/>
    <w:rsid w:val="00276B17"/>
    <w:rsid w:val="00357A6F"/>
    <w:rsid w:val="003D059B"/>
    <w:rsid w:val="00441BD5"/>
    <w:rsid w:val="004425C5"/>
    <w:rsid w:val="00453B02"/>
    <w:rsid w:val="00455186"/>
    <w:rsid w:val="004A00B7"/>
    <w:rsid w:val="0054551F"/>
    <w:rsid w:val="00560BC6"/>
    <w:rsid w:val="00586893"/>
    <w:rsid w:val="005913E0"/>
    <w:rsid w:val="0060326D"/>
    <w:rsid w:val="0061639D"/>
    <w:rsid w:val="0063799D"/>
    <w:rsid w:val="00673C2F"/>
    <w:rsid w:val="006B3843"/>
    <w:rsid w:val="006E54A3"/>
    <w:rsid w:val="006E754A"/>
    <w:rsid w:val="0075588D"/>
    <w:rsid w:val="007646AA"/>
    <w:rsid w:val="00783101"/>
    <w:rsid w:val="007B0EDF"/>
    <w:rsid w:val="007B4671"/>
    <w:rsid w:val="007E10FE"/>
    <w:rsid w:val="007E6BF7"/>
    <w:rsid w:val="007F37D2"/>
    <w:rsid w:val="00807A66"/>
    <w:rsid w:val="00817F15"/>
    <w:rsid w:val="00870679"/>
    <w:rsid w:val="00891803"/>
    <w:rsid w:val="008A194B"/>
    <w:rsid w:val="008B6694"/>
    <w:rsid w:val="008C16CE"/>
    <w:rsid w:val="009162B1"/>
    <w:rsid w:val="00917E7B"/>
    <w:rsid w:val="009535A3"/>
    <w:rsid w:val="009872DD"/>
    <w:rsid w:val="009B64EF"/>
    <w:rsid w:val="009F5DA8"/>
    <w:rsid w:val="00A00DCA"/>
    <w:rsid w:val="00A15A28"/>
    <w:rsid w:val="00A26C21"/>
    <w:rsid w:val="00A36C0F"/>
    <w:rsid w:val="00A433C5"/>
    <w:rsid w:val="00A5359F"/>
    <w:rsid w:val="00A57444"/>
    <w:rsid w:val="00A74774"/>
    <w:rsid w:val="00AA150F"/>
    <w:rsid w:val="00B2719B"/>
    <w:rsid w:val="00B274DC"/>
    <w:rsid w:val="00B277C5"/>
    <w:rsid w:val="00B365E6"/>
    <w:rsid w:val="00B370C6"/>
    <w:rsid w:val="00B81996"/>
    <w:rsid w:val="00B912CE"/>
    <w:rsid w:val="00BD1F0D"/>
    <w:rsid w:val="00BF59FB"/>
    <w:rsid w:val="00C04E5C"/>
    <w:rsid w:val="00C5240C"/>
    <w:rsid w:val="00C664A0"/>
    <w:rsid w:val="00C66D02"/>
    <w:rsid w:val="00C76E5C"/>
    <w:rsid w:val="00CC6104"/>
    <w:rsid w:val="00CD7BB6"/>
    <w:rsid w:val="00D4423B"/>
    <w:rsid w:val="00D75F13"/>
    <w:rsid w:val="00D867F7"/>
    <w:rsid w:val="00DB3257"/>
    <w:rsid w:val="00DC032B"/>
    <w:rsid w:val="00DC1725"/>
    <w:rsid w:val="00DC7038"/>
    <w:rsid w:val="00DF590A"/>
    <w:rsid w:val="00DF73CD"/>
    <w:rsid w:val="00E00276"/>
    <w:rsid w:val="00E1594F"/>
    <w:rsid w:val="00E17B39"/>
    <w:rsid w:val="00E21F33"/>
    <w:rsid w:val="00E22EAC"/>
    <w:rsid w:val="00ED4A5D"/>
    <w:rsid w:val="00F276E4"/>
    <w:rsid w:val="00F30725"/>
    <w:rsid w:val="00F31053"/>
    <w:rsid w:val="00F66A48"/>
    <w:rsid w:val="00FA75F8"/>
    <w:rsid w:val="00FC6352"/>
    <w:rsid w:val="00FE22FC"/>
    <w:rsid w:val="00FE7423"/>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04D"/>
  <w15:chartTrackingRefBased/>
  <w15:docId w15:val="{D92BC336-E209-49C9-B034-0F15DAF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01"/>
    <w:rPr>
      <w:rFonts w:eastAsiaTheme="majorEastAsia" w:cstheme="majorBidi"/>
      <w:color w:val="272727" w:themeColor="text1" w:themeTint="D8"/>
    </w:rPr>
  </w:style>
  <w:style w:type="paragraph" w:styleId="Title">
    <w:name w:val="Title"/>
    <w:basedOn w:val="Normal"/>
    <w:next w:val="Normal"/>
    <w:link w:val="TitleChar"/>
    <w:uiPriority w:val="10"/>
    <w:qFormat/>
    <w:rsid w:val="0078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101"/>
    <w:rPr>
      <w:i/>
      <w:iCs/>
      <w:color w:val="404040" w:themeColor="text1" w:themeTint="BF"/>
    </w:rPr>
  </w:style>
  <w:style w:type="paragraph" w:styleId="ListParagraph">
    <w:name w:val="List Paragraph"/>
    <w:basedOn w:val="Normal"/>
    <w:uiPriority w:val="34"/>
    <w:qFormat/>
    <w:rsid w:val="00783101"/>
    <w:pPr>
      <w:ind w:left="720"/>
      <w:contextualSpacing/>
    </w:pPr>
  </w:style>
  <w:style w:type="character" w:styleId="IntenseEmphasis">
    <w:name w:val="Intense Emphasis"/>
    <w:basedOn w:val="DefaultParagraphFont"/>
    <w:uiPriority w:val="21"/>
    <w:qFormat/>
    <w:rsid w:val="00783101"/>
    <w:rPr>
      <w:i/>
      <w:iCs/>
      <w:color w:val="0F4761" w:themeColor="accent1" w:themeShade="BF"/>
    </w:rPr>
  </w:style>
  <w:style w:type="paragraph" w:styleId="IntenseQuote">
    <w:name w:val="Intense Quote"/>
    <w:basedOn w:val="Normal"/>
    <w:next w:val="Normal"/>
    <w:link w:val="IntenseQuoteChar"/>
    <w:uiPriority w:val="30"/>
    <w:qFormat/>
    <w:rsid w:val="0078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01"/>
    <w:rPr>
      <w:i/>
      <w:iCs/>
      <w:color w:val="0F4761" w:themeColor="accent1" w:themeShade="BF"/>
    </w:rPr>
  </w:style>
  <w:style w:type="character" w:styleId="IntenseReference">
    <w:name w:val="Intense Reference"/>
    <w:basedOn w:val="DefaultParagraphFont"/>
    <w:uiPriority w:val="32"/>
    <w:qFormat/>
    <w:rsid w:val="00783101"/>
    <w:rPr>
      <w:b/>
      <w:bCs/>
      <w:smallCaps/>
      <w:color w:val="0F4761" w:themeColor="accent1" w:themeShade="BF"/>
      <w:spacing w:val="5"/>
    </w:rPr>
  </w:style>
  <w:style w:type="table" w:styleId="TableGrid">
    <w:name w:val="Table Grid"/>
    <w:basedOn w:val="TableNormal"/>
    <w:uiPriority w:val="39"/>
    <w:rsid w:val="003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3</cp:revision>
  <dcterms:created xsi:type="dcterms:W3CDTF">2025-03-20T07:14:00Z</dcterms:created>
  <dcterms:modified xsi:type="dcterms:W3CDTF">2025-03-20T07:24:00Z</dcterms:modified>
</cp:coreProperties>
</file>